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</w:t>
      </w:r>
      <w:r>
        <w:rPr>
          <w:rFonts w:ascii="Times New Roman" w:hAnsi="Times New Roman" w:cs="Times New Roman"/>
          <w:b/>
          <w:sz w:val="24"/>
          <w:szCs w:val="24"/>
        </w:rPr>
        <w:t xml:space="preserve"> к материалам общего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собраения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собственников объекта, расположенного по адресу г. Санкт-Петербург, улица </w:t>
      </w:r>
      <w:r>
        <w:rPr>
          <w:rFonts w:ascii="Times New Roman" w:hAnsi="Times New Roman" w:cs="Times New Roman"/>
          <w:b/>
          <w:sz w:val="24"/>
          <w:szCs w:val="24"/>
        </w:rPr>
        <w:t xml:space="preserve">Дибуновская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, дом 22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ИНН/КПП 1001172822/780201001 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р/счет 40702810132530000577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/>
      <w:bookmarkStart w:id="0" w:name="_GoBack"/>
      <w:r/>
      <w:bookmarkEnd w:id="0"/>
      <w:r>
        <w:rPr>
          <w:b/>
          <w:sz w:val="16"/>
          <w:szCs w:val="16"/>
        </w:rPr>
        <w:t xml:space="preserve">                                                       В банк: Филиал «Санкт- Петербургский» АО «АЛЬФА-БАНК»</w:t>
      </w:r>
      <w:r/>
    </w:p>
    <w:p>
      <w:pPr>
        <w:jc w:val="right"/>
        <w:spacing w:lineRule="auto" w:line="24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e-mail : </w:t>
      </w:r>
      <w:hyperlink r:id="rId9" w:tooltip="mailto:Borisov17.97@yandex.ru" w:history="1">
        <w:r>
          <w:rPr>
            <w:b/>
            <w:sz w:val="16"/>
            <w:szCs w:val="16"/>
            <w:lang w:val="en-US"/>
          </w:rPr>
          <w:t xml:space="preserve">Borisov17.97@yandex.ru</w:t>
        </w:r>
      </w:hyperlink>
      <w:r/>
      <w:r/>
    </w:p>
    <w:p>
      <w:pPr>
        <w:jc w:val="right"/>
        <w:spacing w:lineRule="auto" w:line="24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 xml:space="preserve">тел</w:t>
      </w:r>
      <w:r>
        <w:rPr>
          <w:b/>
          <w:sz w:val="16"/>
          <w:szCs w:val="16"/>
          <w:lang w:val="en-US"/>
        </w:rPr>
        <w:t xml:space="preserve">:  (812) 407 35 36/ 8911 937 00 37</w:t>
      </w:r>
      <w:r/>
    </w:p>
    <w:p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Группа компаний Ладожский Гранит</w:t>
      </w:r>
      <w:r/>
    </w:p>
    <w:p>
      <w:r>
        <w:rPr>
          <w:b/>
          <w:sz w:val="28"/>
          <w:szCs w:val="28"/>
        </w:rPr>
        <w:t xml:space="preserve">КОММЕРЧЕСКОЕ ПРЕДЛОЖЕНИЕ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 от 25 марта  2022 г.</w:t>
      </w:r>
      <w:r/>
    </w:p>
    <w:p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Адрес: г.Санкт-</w:t>
      </w:r>
      <w:r>
        <w:rPr>
          <w:sz w:val="24"/>
          <w:szCs w:val="24"/>
        </w:rPr>
        <w:t xml:space="preserve">Петербург 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 xml:space="preserve">Дибуновская</w:t>
      </w:r>
      <w:r>
        <w:rPr>
          <w:sz w:val="24"/>
          <w:szCs w:val="24"/>
        </w:rPr>
        <w:t xml:space="preserve">, д22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Кому:</w:t>
      </w:r>
      <w:r>
        <w:rPr>
          <w:color w:val="000000"/>
          <w:sz w:val="27"/>
          <w:szCs w:val="27"/>
        </w:rPr>
        <w:t xml:space="preserve">Управляющей.</w:t>
      </w:r>
      <w:r/>
    </w:p>
    <w:tbl>
      <w:tblPr>
        <w:tblStyle w:val="602"/>
        <w:tblW w:w="1083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5813"/>
        <w:gridCol w:w="709"/>
        <w:gridCol w:w="850"/>
        <w:gridCol w:w="1418"/>
        <w:gridCol w:w="1622"/>
      </w:tblGrid>
      <w:tr>
        <w:trPr>
          <w:jc w:val="center"/>
        </w:trPr>
        <w:tc>
          <w:tcPr>
            <w:gridSpan w:val="6"/>
            <w:tcW w:w="1083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Ремонт лестниц и квартирных холлов</w:t>
            </w:r>
            <w:r>
              <w:rPr>
                <w:b/>
                <w:sz w:val="20"/>
                <w:szCs w:val="20"/>
              </w:rPr>
              <w:t xml:space="preserve"> (вариант 2)</w:t>
            </w:r>
            <w:r/>
          </w:p>
        </w:tc>
      </w:tr>
      <w:tr>
        <w:trPr>
          <w:jc w:val="center"/>
        </w:trPr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W w:w="58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Косметический ремонт и окраска стен лестниц и квартирных холлов </w:t>
            </w:r>
            <w:r>
              <w:rPr>
                <w:sz w:val="20"/>
                <w:szCs w:val="20"/>
              </w:rPr>
              <w:t xml:space="preserve"> по технологии  «</w:t>
            </w:r>
            <w:r>
              <w:rPr>
                <w:sz w:val="20"/>
                <w:szCs w:val="20"/>
              </w:rPr>
              <w:t xml:space="preserve">Церезит</w:t>
            </w:r>
            <w:r>
              <w:rPr>
                <w:sz w:val="20"/>
                <w:szCs w:val="20"/>
              </w:rPr>
              <w:t xml:space="preserve">»  с нанесением фактурной штукатурки</w:t>
            </w:r>
            <w:r>
              <w:rPr>
                <w:sz w:val="20"/>
                <w:szCs w:val="20"/>
              </w:rPr>
              <w:t xml:space="preserve">(комплекс работ -включая все расходные материалы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032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200</w:t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238400</w:t>
            </w:r>
            <w:r/>
          </w:p>
        </w:tc>
      </w:tr>
      <w:tr>
        <w:trPr>
          <w:jc w:val="center"/>
        </w:trPr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58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Косметический ремонт потолков лестниц и холлов (комплекс работ -включая все расходные материалы))</w:t>
            </w:r>
            <w:r>
              <w:rPr>
                <w:sz w:val="20"/>
                <w:szCs w:val="20"/>
              </w:rPr>
              <w:tab/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М2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850</w:t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90400</w:t>
            </w:r>
            <w:r/>
          </w:p>
        </w:tc>
      </w:tr>
      <w:tr>
        <w:trPr>
          <w:jc w:val="center"/>
        </w:trPr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4"/>
            <w:tcW w:w="87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всего по работам</w:t>
            </w:r>
            <w:r>
              <w:rPr>
                <w:b/>
                <w:sz w:val="20"/>
                <w:szCs w:val="20"/>
              </w:rPr>
              <w:tab/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  <w:lang w:val="en-US"/>
              </w:rPr>
              <w:t xml:space="preserve">428800</w:t>
            </w:r>
            <w:r/>
          </w:p>
        </w:tc>
      </w:tr>
    </w:tbl>
    <w:p>
      <w:r/>
      <w:r/>
    </w:p>
    <w:p>
      <w:pPr>
        <w:tabs>
          <w:tab w:val="left" w:pos="1005" w:leader="none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Стены, в состав работ </w:t>
      </w:r>
      <w:r>
        <w:rPr>
          <w:b/>
          <w:sz w:val="20"/>
          <w:szCs w:val="20"/>
        </w:rPr>
        <w:t xml:space="preserve">входит</w:t>
      </w:r>
      <w:r>
        <w:rPr>
          <w:sz w:val="20"/>
          <w:szCs w:val="20"/>
        </w:rPr>
        <w:t xml:space="preserve">:  подготовка</w:t>
      </w:r>
      <w:r>
        <w:rPr>
          <w:sz w:val="20"/>
          <w:szCs w:val="20"/>
        </w:rPr>
        <w:t xml:space="preserve"> поверхности  для нанесения фактурной штукатурки,  </w:t>
      </w:r>
      <w:r>
        <w:rPr>
          <w:sz w:val="20"/>
          <w:szCs w:val="20"/>
        </w:rPr>
        <w:t xml:space="preserve">огрунтовка</w:t>
      </w:r>
      <w:r>
        <w:rPr>
          <w:sz w:val="20"/>
          <w:szCs w:val="20"/>
        </w:rPr>
        <w:t xml:space="preserve">, частичная шпатлевка  , нанесение штукатурки .</w:t>
      </w:r>
      <w:r/>
    </w:p>
    <w:p>
      <w:pPr>
        <w:tabs>
          <w:tab w:val="left" w:pos="1005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В стоимость включены все </w:t>
      </w:r>
      <w:r>
        <w:rPr>
          <w:sz w:val="20"/>
          <w:szCs w:val="20"/>
        </w:rPr>
        <w:t xml:space="preserve">высококачественные  расходные</w:t>
      </w:r>
      <w:r>
        <w:rPr>
          <w:sz w:val="20"/>
          <w:szCs w:val="20"/>
        </w:rPr>
        <w:t xml:space="preserve"> материалы ,доставка ,уборка, вынос ,вывоз и утилизация строительного мусора.</w:t>
      </w:r>
      <w:r/>
    </w:p>
    <w:p>
      <w:pPr>
        <w:tabs>
          <w:tab w:val="left" w:pos="1005" w:leader="none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Потолки: состав работ входит</w:t>
      </w:r>
      <w:r>
        <w:rPr>
          <w:sz w:val="20"/>
          <w:szCs w:val="20"/>
        </w:rPr>
        <w:t xml:space="preserve">: расчистка поверхности </w:t>
      </w:r>
      <w:r>
        <w:rPr>
          <w:sz w:val="20"/>
          <w:szCs w:val="20"/>
        </w:rPr>
        <w:t xml:space="preserve">потолка ,</w:t>
      </w:r>
      <w:r>
        <w:rPr>
          <w:sz w:val="20"/>
          <w:szCs w:val="20"/>
        </w:rPr>
        <w:t xml:space="preserve"> шпатлевка выбоин и трещин  поверхности   , </w:t>
      </w:r>
      <w:r>
        <w:rPr>
          <w:sz w:val="20"/>
          <w:szCs w:val="20"/>
        </w:rPr>
        <w:t xml:space="preserve">огрунтовка</w:t>
      </w:r>
      <w:r>
        <w:rPr>
          <w:sz w:val="20"/>
          <w:szCs w:val="20"/>
        </w:rPr>
        <w:t xml:space="preserve"> поверхности, окраска потолка  и декоративных элементов, на 2 раза в/о  влагостойкими красками .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В стоимость включены все </w:t>
      </w:r>
      <w:r>
        <w:rPr>
          <w:sz w:val="20"/>
          <w:szCs w:val="20"/>
        </w:rPr>
        <w:t xml:space="preserve">высококачественные  расходные</w:t>
      </w:r>
      <w:r>
        <w:rPr>
          <w:sz w:val="20"/>
          <w:szCs w:val="20"/>
        </w:rPr>
        <w:t xml:space="preserve"> материалы ,доставка ,уборка, вынос ,вывоз и утилизация строительного мусора</w:t>
      </w:r>
      <w:r/>
    </w:p>
    <w:p>
      <w:pPr>
        <w:rPr>
          <w:b/>
        </w:rPr>
      </w:pPr>
      <w:r>
        <w:rPr>
          <w:b/>
        </w:rPr>
        <w:t xml:space="preserve">Сроки выполнения работ </w:t>
      </w:r>
      <w:r>
        <w:rPr>
          <w:b/>
        </w:rPr>
        <w:t xml:space="preserve">уточняются дополнительно в зависимости от предложенного варианта .</w:t>
      </w:r>
      <w:r/>
    </w:p>
    <w:p>
      <w:pPr>
        <w:rPr>
          <w:b/>
        </w:rPr>
      </w:pPr>
      <w:r>
        <w:rPr>
          <w:b/>
        </w:rPr>
        <w:t xml:space="preserve">Гарантия на выполненные работы 36 месяцев</w:t>
      </w:r>
      <w:r/>
    </w:p>
    <w:p>
      <w:pPr>
        <w:rPr>
          <w:b/>
        </w:rPr>
      </w:pPr>
      <w:r>
        <w:rPr>
          <w:b/>
        </w:rPr>
        <w:t xml:space="preserve">С уважением,                                                             Генеральный директор Борисов В.Н.</w:t>
      </w:r>
      <w:r/>
    </w:p>
    <w:p>
      <w:r>
        <w:t xml:space="preserve">Целевой взнос рассчитывается, исходя из суммы коммерческого предложения и площади жилых помещений. Площадь жилых помещений 3150,6 м</w:t>
      </w:r>
      <w:r>
        <w:rPr>
          <w:vertAlign w:val="superscript"/>
        </w:rPr>
        <w:t xml:space="preserve">2</w:t>
      </w:r>
      <w:r>
        <w:t xml:space="preserve">. 10 % от стоимости коммерческого предложения составляет рентабельность Управляющей компании, в эти 10 % также входят риски, надзор за проведением работ. Соответс</w:t>
      </w:r>
      <w:r>
        <w:t xml:space="preserve">твенно, стоимость работ 1 428 800 р. Рентабельность 10% - 142 880</w:t>
      </w:r>
      <w:r>
        <w:t xml:space="preserve"> р.</w:t>
      </w:r>
      <w:r/>
    </w:p>
    <w:p>
      <w:r>
        <w:t xml:space="preserve">1 428 800 + 142 880 = 1 571 680</w:t>
      </w:r>
      <w:r>
        <w:t xml:space="preserve"> р.</w:t>
      </w:r>
      <w:r/>
    </w:p>
    <w:p>
      <w:r>
        <w:t xml:space="preserve">1 571 680/3150,6 = 498,86</w:t>
      </w:r>
      <w:r>
        <w:t xml:space="preserve"> р. Данная сумма от</w:t>
      </w:r>
      <w:r>
        <w:t xml:space="preserve">ражена в повестке ОСС вопрос №15</w:t>
      </w:r>
      <w:r>
        <w:t xml:space="preserve">.</w:t>
      </w:r>
      <w:r/>
    </w:p>
    <w:p>
      <w:r/>
      <w:r/>
    </w:p>
    <w:sectPr>
      <w:footnotePr/>
      <w:endnotePr/>
      <w:type w:val="nextPage"/>
      <w:pgSz w:w="11906" w:h="16838" w:orient="portrait"/>
      <w:pgMar w:top="851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eastAsiaTheme="minorEastAsia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rPr>
      <w:rFonts w:eastAsiaTheme="minorEastAsia"/>
      <w:lang w:eastAsia="ru-RU"/>
    </w:rPr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table" w:styleId="603" w:customStyle="1">
    <w:name w:val="Сетка таблицы1"/>
    <w:basedOn w:val="600"/>
    <w:next w:val="602"/>
    <w:uiPriority w:val="59"/>
    <w:rPr>
      <w:rFonts w:eastAsia="Times New Roman"/>
      <w:lang w:eastAsia="ru-RU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Borisov17.97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R7-Office/6.4.2.34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Аллекова</cp:lastModifiedBy>
  <cp:revision>4</cp:revision>
  <dcterms:created xsi:type="dcterms:W3CDTF">2022-03-25T07:02:00Z</dcterms:created>
  <dcterms:modified xsi:type="dcterms:W3CDTF">2022-03-25T08:57:04Z</dcterms:modified>
</cp:coreProperties>
</file>